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A78A1"/>
          <w:sz w:val="22"/>
        </w:rPr>
        <w:t>EVIDELIS</w:t>
      </w:r>
    </w:p>
    <w:p>
      <w:pPr>
        <w:pStyle w:val="Title"/>
        <w:jc w:val="center"/>
      </w:pPr>
      <w:r>
        <w:t>AI Acceptable Use Policy Template</w:t>
      </w:r>
    </w:p>
    <w:p>
      <w:pPr>
        <w:jc w:val="center"/>
      </w:pPr>
      <w:r>
        <w:rPr>
          <w:rFonts w:ascii="Arial" w:hAnsi="Arial"/>
          <w:color w:val="667085"/>
          <w:sz w:val="26"/>
        </w:rPr>
        <w:t>Free editable starter for employee and contractor use of AI at work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6912"/>
      </w:tblGrid>
      <w:tr>
        <w:tc>
          <w:tcPr>
            <w:tcW w:type="dxa" w:w="5083"/>
            <w:vAlign w:val="center"/>
            <w:shd w:fill="EAF0F5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Organisation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[ORGANISATION NAME]</w:t>
            </w:r>
          </w:p>
        </w:tc>
      </w:tr>
      <w:tr>
        <w:tc>
          <w:tcPr>
            <w:tcW w:type="dxa" w:w="5083"/>
            <w:vAlign w:val="center"/>
            <w:shd w:fill="EAF0F5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Policy owner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[ROLE / NAME]</w:t>
            </w:r>
          </w:p>
        </w:tc>
      </w:tr>
      <w:tr>
        <w:tc>
          <w:tcPr>
            <w:tcW w:type="dxa" w:w="5083"/>
            <w:vAlign w:val="center"/>
            <w:shd w:fill="EAF0F5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Approved by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[ROLE / BODY]</w:t>
            </w:r>
          </w:p>
        </w:tc>
      </w:tr>
      <w:tr>
        <w:tc>
          <w:tcPr>
            <w:tcW w:type="dxa" w:w="5083"/>
            <w:vAlign w:val="center"/>
            <w:shd w:fill="EAF0F5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Effective date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[DATE]</w:t>
            </w:r>
          </w:p>
        </w:tc>
      </w:tr>
      <w:tr>
        <w:tc>
          <w:tcPr>
            <w:tcW w:type="dxa" w:w="5083"/>
            <w:vAlign w:val="center"/>
            <w:shd w:fill="EAF0F5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Next review</w:t>
            </w:r>
          </w:p>
        </w:tc>
        <w:tc>
          <w:tcPr>
            <w:tcW w:type="dxa" w:w="508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8"/>
              </w:rPr>
              <w:t>[DATE / REVIEW CYCLE]</w:t>
            </w:r>
          </w:p>
        </w:tc>
      </w:tr>
    </w:tbl>
    <w:p>
      <w:pPr>
        <w:spacing w:before="200" w:after="80"/>
      </w:pPr>
      <w:r>
        <w:rPr>
          <w:b/>
          <w:color w:val="17324D"/>
          <w:sz w:val="22"/>
        </w:rPr>
        <w:t>How to use this template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Replace every [bracketed field] with your organisation’s decisions, tools, roles and contact points.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Delete sections that do not apply and add stricter rules where your industry, contracts or local law require them.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Have the adapted draft reviewed by the relevant legal, privacy, security, HR and operational owners before adoption.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Publish the final version where staff can find it and require acknowledgement or training appropriate to your risk profile.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4D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17324D"/>
                <w:sz w:val="18"/>
              </w:rPr>
              <w:t>Important: This is a general governance drafting aid, not legal advice and not a compliance certificate. It does not replace privacy, security, employment, sector-specific, model-validation or regulatory review where those are required.</w:t>
            </w:r>
          </w:p>
        </w:tc>
      </w:tr>
    </w:tbl>
    <w:p>
      <w:r>
        <w:br w:type="page"/>
      </w:r>
    </w:p>
    <w:p>
      <w:pPr>
        <w:pStyle w:val="Heading1"/>
      </w:pPr>
      <w:r>
        <w:t>1. Purpose</w:t>
      </w:r>
    </w:p>
    <w:p>
      <w:pPr>
        <w:spacing w:after="100"/>
        <w:ind w:left="173"/>
      </w:pPr>
      <w:r>
        <w:rPr>
          <w:b/>
          <w:color w:val="17324D"/>
        </w:rPr>
        <w:t xml:space="preserve">Policy rule. </w:t>
      </w:r>
      <w:r>
        <w:t>This policy sets the conditions under which people working for [ORGANISATION NAME] may use artificial intelligence systems for company work.</w:t>
      </w:r>
    </w:p>
    <w:p>
      <w:pPr>
        <w:spacing w:after="100"/>
        <w:ind w:left="173"/>
      </w:pPr>
      <w:r>
        <w:rPr>
          <w:b/>
          <w:color w:val="17324D"/>
        </w:rPr>
        <w:t xml:space="preserve">Objective. </w:t>
      </w:r>
      <w:r>
        <w:t>The organisation supports useful and responsible AI use while protecting confidential information, personal information, intellectual property, customers, workers, business decisions and operational integrity.</w:t>
      </w:r>
    </w:p>
    <w:p>
      <w:pPr>
        <w:pStyle w:val="Heading1"/>
      </w:pPr>
      <w:r>
        <w:t>2. Scope</w:t>
      </w:r>
    </w:p>
    <w:p>
      <w:pPr>
        <w:spacing w:after="100"/>
        <w:ind w:left="173"/>
      </w:pPr>
      <w:r>
        <w:rPr>
          <w:b/>
          <w:color w:val="17324D"/>
        </w:rPr>
        <w:t xml:space="preserve">People covered. </w:t>
      </w:r>
      <w:r>
        <w:t>This policy applies to employees, directors, contractors, temporary staff, interns and other authorised workers when they use AI for company work.</w:t>
      </w:r>
    </w:p>
    <w:p>
      <w:pPr>
        <w:spacing w:after="100"/>
        <w:ind w:left="173"/>
      </w:pPr>
      <w:r>
        <w:rPr>
          <w:b/>
          <w:color w:val="17324D"/>
        </w:rPr>
        <w:t xml:space="preserve">Tools covered. </w:t>
      </w:r>
      <w:r>
        <w:t>It applies to generative AI assistants, copilots, image/audio/code generators, transcription and summarisation tools, AI agents, automated scoring or recommendation systems, plugins, browser extensions and AI features embedded in other software.</w:t>
      </w:r>
    </w:p>
    <w:p>
      <w:pPr>
        <w:spacing w:after="100"/>
        <w:ind w:left="173"/>
      </w:pPr>
      <w:r>
        <w:rPr>
          <w:b/>
          <w:color w:val="17324D"/>
        </w:rPr>
        <w:t xml:space="preserve">Devices and accounts. </w:t>
      </w:r>
      <w:r>
        <w:t>The rules apply whether the tool is accessed on a company device, personal device, company account or personal account. Company work remains subject to this policy regardless of the access route.</w:t>
      </w:r>
    </w:p>
    <w:p>
      <w:pPr>
        <w:pStyle w:val="Heading1"/>
      </w:pPr>
      <w:r>
        <w:t>3. Core principles</w:t>
      </w:r>
    </w:p>
    <w:p>
      <w:pPr>
        <w:spacing w:after="100"/>
        <w:ind w:left="173"/>
      </w:pPr>
      <w:r>
        <w:rPr>
          <w:b/>
          <w:color w:val="17324D"/>
        </w:rPr>
        <w:t xml:space="preserve">Use approved tools. </w:t>
      </w:r>
      <w:r>
        <w:t>Use AI services that the organisation has approved for the relevant type of work and data.</w:t>
      </w:r>
    </w:p>
    <w:p>
      <w:pPr>
        <w:spacing w:after="100"/>
        <w:ind w:left="173"/>
      </w:pPr>
      <w:r>
        <w:rPr>
          <w:b/>
          <w:color w:val="17324D"/>
        </w:rPr>
        <w:t xml:space="preserve">Keep a human accountable. </w:t>
      </w:r>
      <w:r>
        <w:t>AI may support work, but an identified person remains responsible for material outputs, decisions and actions.</w:t>
      </w:r>
    </w:p>
    <w:p>
      <w:pPr>
        <w:spacing w:after="100"/>
        <w:ind w:left="173"/>
      </w:pPr>
      <w:r>
        <w:rPr>
          <w:b/>
          <w:color w:val="17324D"/>
        </w:rPr>
        <w:t xml:space="preserve">Protect information. </w:t>
      </w:r>
      <w:r>
        <w:t>Do not enter information into AI systems unless its use is permitted by organisational rules, contracts and applicable law.</w:t>
      </w:r>
    </w:p>
    <w:p>
      <w:pPr>
        <w:spacing w:after="100"/>
        <w:ind w:left="173"/>
      </w:pPr>
      <w:r>
        <w:rPr>
          <w:b/>
          <w:color w:val="17324D"/>
        </w:rPr>
        <w:t xml:space="preserve">Verify before relying. </w:t>
      </w:r>
      <w:r>
        <w:t>Treat AI output as unverified until a competent person checks it to the level appropriate for the task.</w:t>
      </w:r>
    </w:p>
    <w:p>
      <w:pPr>
        <w:spacing w:after="100"/>
        <w:ind w:left="173"/>
      </w:pPr>
      <w:r>
        <w:rPr>
          <w:b/>
          <w:color w:val="17324D"/>
        </w:rPr>
        <w:t xml:space="preserve">Escalate uncertainty. </w:t>
      </w:r>
      <w:r>
        <w:t>If the acceptable use of a tool, data set or use case is unclear, stop and ask [POLICY OWNER / APPROVAL CONTACT].</w:t>
      </w:r>
    </w:p>
    <w:p>
      <w:pPr>
        <w:pStyle w:val="Heading1"/>
      </w:pPr>
      <w:r>
        <w:t>4. Approved tools and accounts</w:t>
      </w:r>
    </w:p>
    <w:p>
      <w:pPr>
        <w:spacing w:after="100"/>
        <w:ind w:left="173"/>
      </w:pPr>
      <w:r>
        <w:rPr>
          <w:b/>
          <w:color w:val="17324D"/>
        </w:rPr>
        <w:t xml:space="preserve">Approved list. </w:t>
      </w:r>
      <w:r>
        <w:t>Company work may be performed only with tools listed in Appendix A, or tools approved through the organisation’s AI/tool approval process.</w:t>
      </w:r>
    </w:p>
    <w:p>
      <w:pPr>
        <w:spacing w:after="100"/>
        <w:ind w:left="173"/>
      </w:pPr>
      <w:r>
        <w:rPr>
          <w:b/>
          <w:color w:val="17324D"/>
        </w:rPr>
        <w:t xml:space="preserve">Business accounts. </w:t>
      </w:r>
      <w:r>
        <w:t>Where the organisation provides an enterprise, business or managed account, use that account rather than a personal account for company work.</w:t>
      </w:r>
    </w:p>
    <w:p>
      <w:pPr>
        <w:spacing w:after="100"/>
        <w:ind w:left="173"/>
      </w:pPr>
      <w:r>
        <w:rPr>
          <w:b/>
          <w:color w:val="17324D"/>
        </w:rPr>
        <w:t xml:space="preserve">New tools. </w:t>
      </w:r>
      <w:r>
        <w:t>Do not install or use a new AI tool, extension, agent or integration for company work until it has been approved where approval is required.</w:t>
      </w:r>
    </w:p>
    <w:p>
      <w:pPr>
        <w:pStyle w:val="Heading1"/>
      </w:pPr>
      <w:r>
        <w:t>5. Permitted uses</w:t>
      </w:r>
    </w:p>
    <w:p>
      <w:pPr>
        <w:spacing w:after="100"/>
        <w:ind w:left="173"/>
      </w:pPr>
      <w:r>
        <w:rPr>
          <w:b/>
          <w:color w:val="17324D"/>
        </w:rPr>
        <w:t xml:space="preserve">General rule. </w:t>
      </w:r>
      <w:r>
        <w:t>AI may be used for low- and moderate-risk work where the tool, data and workflow are approved and the output receives appropriate human review.</w:t>
      </w:r>
    </w:p>
    <w:p>
      <w:pPr>
        <w:spacing w:after="100"/>
        <w:ind w:left="173"/>
      </w:pPr>
      <w:r>
        <w:rPr>
          <w:b/>
          <w:color w:val="17324D"/>
        </w:rPr>
        <w:t xml:space="preserve">Typical examples. </w:t>
      </w:r>
      <w:r>
        <w:t>Examples may include drafting, summarisation, brainstorming, translation, coding assistance, document structuring, research support, meeting notes and data analysis, subject to the controls in this policy.</w:t>
      </w:r>
    </w:p>
    <w:p>
      <w:pPr>
        <w:spacing w:after="100"/>
        <w:ind w:left="173"/>
      </w:pPr>
      <w:r>
        <w:rPr>
          <w:b/>
          <w:color w:val="17324D"/>
        </w:rPr>
        <w:t xml:space="preserve">Local restrictions. </w:t>
      </w:r>
      <w:r>
        <w:t>Business units may impose stricter rules for regulated, confidential, safety-critical or customer-specific work.</w:t>
      </w:r>
    </w:p>
    <w:p>
      <w:pPr>
        <w:pStyle w:val="Heading1"/>
      </w:pPr>
      <w:r>
        <w:t>6. Prohibited and restricted uses</w:t>
      </w:r>
    </w:p>
    <w:p>
      <w:pPr>
        <w:spacing w:after="100"/>
        <w:ind w:left="173"/>
      </w:pPr>
      <w:r>
        <w:rPr>
          <w:b/>
          <w:color w:val="17324D"/>
        </w:rPr>
        <w:t xml:space="preserve">No unlawful or harmful use. </w:t>
      </w:r>
      <w:r>
        <w:t>Do not use AI to facilitate unlawful activity, harassment, discrimination, deception, fraud, malware, credential theft or other prohibited conduct.</w:t>
      </w:r>
    </w:p>
    <w:p>
      <w:pPr>
        <w:spacing w:after="100"/>
        <w:ind w:left="173"/>
      </w:pPr>
      <w:r>
        <w:rPr>
          <w:b/>
          <w:color w:val="17324D"/>
        </w:rPr>
        <w:t xml:space="preserve">No unapproved high-impact decisions. </w:t>
      </w:r>
      <w:r>
        <w:t>Do not allow an AI system to make or materially determine decisions about employment, credit, healthcare, legal rights, safety, access to essential services or other high-impact matters unless the use case has received the required specialist review and approval.</w:t>
      </w:r>
    </w:p>
    <w:p>
      <w:pPr>
        <w:spacing w:after="100"/>
        <w:ind w:left="173"/>
      </w:pPr>
      <w:r>
        <w:rPr>
          <w:b/>
          <w:color w:val="17324D"/>
        </w:rPr>
        <w:t xml:space="preserve">No false representation. </w:t>
      </w:r>
      <w:r>
        <w:t>Do not present AI-generated information as verified fact, professional advice, evidence or an authorised company position unless it has been reviewed and approved for that purpose.</w:t>
      </w:r>
    </w:p>
    <w:p>
      <w:pPr>
        <w:spacing w:after="100"/>
        <w:ind w:left="173"/>
      </w:pPr>
      <w:r>
        <w:rPr>
          <w:b/>
          <w:color w:val="17324D"/>
        </w:rPr>
        <w:t xml:space="preserve">No control circumvention. </w:t>
      </w:r>
      <w:r>
        <w:t>Do not use AI to bypass security controls, access restrictions, approval processes, logging, records retention or other company safeguards.</w:t>
      </w:r>
    </w:p>
    <w:p>
      <w:pPr>
        <w:pStyle w:val="Heading1"/>
      </w:pPr>
      <w:r>
        <w:t>7. Data and confidentiality</w:t>
      </w:r>
    </w:p>
    <w:p>
      <w:pPr>
        <w:spacing w:after="100"/>
        <w:ind w:left="173"/>
      </w:pPr>
      <w:r>
        <w:rPr>
          <w:b/>
          <w:color w:val="17324D"/>
        </w:rPr>
        <w:t xml:space="preserve">Data rule. </w:t>
      </w:r>
      <w:r>
        <w:t>Only enter data that is permitted for the specific approved tool and account configuration.</w:t>
      </w:r>
    </w:p>
    <w:p>
      <w:pPr>
        <w:spacing w:after="100"/>
        <w:ind w:left="173"/>
      </w:pPr>
      <w:r>
        <w:rPr>
          <w:b/>
          <w:color w:val="17324D"/>
        </w:rPr>
        <w:t xml:space="preserve">Restricted information. </w:t>
      </w:r>
      <w:r>
        <w:t>Unless specifically approved, do not enter passwords, authentication secrets, private keys, unpublished financial information, trade secrets, source code classified as restricted, customer-confidential information, special-category/sensitive personal data, regulated data or information subject to contractual non-disclosure restrictions.</w:t>
      </w:r>
    </w:p>
    <w:p>
      <w:pPr>
        <w:spacing w:after="100"/>
        <w:ind w:left="173"/>
      </w:pPr>
      <w:r>
        <w:rPr>
          <w:b/>
          <w:color w:val="17324D"/>
        </w:rPr>
        <w:t xml:space="preserve">Minimum necessary. </w:t>
      </w:r>
      <w:r>
        <w:t>Use the minimum data required for the task. Remove or mask personal, confidential or identifying information where practical.</w:t>
      </w:r>
    </w:p>
    <w:p>
      <w:pPr>
        <w:spacing w:after="100"/>
        <w:ind w:left="173"/>
      </w:pPr>
      <w:r>
        <w:rPr>
          <w:b/>
          <w:color w:val="17324D"/>
        </w:rPr>
        <w:t xml:space="preserve">Uploads and connectors. </w:t>
      </w:r>
      <w:r>
        <w:t>Treat file uploads, browser connectors, plugins, integrations, memory features and agent access as data sharing. Use them only where approved.</w:t>
      </w:r>
    </w:p>
    <w:p>
      <w:pPr>
        <w:pStyle w:val="Heading1"/>
      </w:pPr>
      <w:r>
        <w:t>8. Output verification and human oversight</w:t>
      </w:r>
    </w:p>
    <w:p>
      <w:pPr>
        <w:spacing w:after="100"/>
        <w:ind w:left="173"/>
      </w:pPr>
      <w:r>
        <w:rPr>
          <w:b/>
          <w:color w:val="17324D"/>
        </w:rPr>
        <w:t xml:space="preserve">Verification. </w:t>
      </w:r>
      <w:r>
        <w:t>Check factual claims, calculations, citations, quotations, legal or technical assertions and other material content before use.</w:t>
      </w:r>
    </w:p>
    <w:p>
      <w:pPr>
        <w:spacing w:after="100"/>
        <w:ind w:left="173"/>
      </w:pPr>
      <w:r>
        <w:rPr>
          <w:b/>
          <w:color w:val="17324D"/>
        </w:rPr>
        <w:t xml:space="preserve">Appropriate reviewer. </w:t>
      </w:r>
      <w:r>
        <w:t>The reviewer must have enough subject-matter knowledge to identify plausible errors, omissions or unsafe recommendations.</w:t>
      </w:r>
    </w:p>
    <w:p>
      <w:pPr>
        <w:spacing w:after="100"/>
        <w:ind w:left="173"/>
      </w:pPr>
      <w:r>
        <w:rPr>
          <w:b/>
          <w:color w:val="17324D"/>
        </w:rPr>
        <w:t xml:space="preserve">Material decisions. </w:t>
      </w:r>
      <w:r>
        <w:t>Where AI supports a material decision, document the human decision-maker and the basis for the final decision where required by organisational procedure.</w:t>
      </w:r>
    </w:p>
    <w:p>
      <w:pPr>
        <w:spacing w:after="100"/>
        <w:ind w:left="173"/>
      </w:pPr>
      <w:r>
        <w:rPr>
          <w:b/>
          <w:color w:val="17324D"/>
        </w:rPr>
        <w:t xml:space="preserve">No automation by default. </w:t>
      </w:r>
      <w:r>
        <w:t>AI-generated drafts must not be automatically sent, published, executed or used to trigger consequential actions unless that automation has been separately approved.</w:t>
      </w:r>
    </w:p>
    <w:p>
      <w:pPr>
        <w:pStyle w:val="Heading1"/>
      </w:pPr>
      <w:r>
        <w:t>9. Intellectual property and external content</w:t>
      </w:r>
    </w:p>
    <w:p>
      <w:pPr>
        <w:spacing w:after="100"/>
        <w:ind w:left="173"/>
      </w:pPr>
      <w:r>
        <w:rPr>
          <w:b/>
          <w:color w:val="17324D"/>
        </w:rPr>
        <w:t xml:space="preserve">Respect rights. </w:t>
      </w:r>
      <w:r>
        <w:t>Do not ask AI systems to reproduce or transform protected material in ways that violate licences, contracts or intellectual-property rights.</w:t>
      </w:r>
    </w:p>
    <w:p>
      <w:pPr>
        <w:spacing w:after="100"/>
        <w:ind w:left="173"/>
      </w:pPr>
      <w:r>
        <w:rPr>
          <w:b/>
          <w:color w:val="17324D"/>
        </w:rPr>
        <w:t xml:space="preserve">Company materials. </w:t>
      </w:r>
      <w:r>
        <w:t>Do not upload proprietary company content to services whose terms, configuration or data-handling practices have not been approved for that content.</w:t>
      </w:r>
    </w:p>
    <w:p>
      <w:pPr>
        <w:spacing w:after="100"/>
        <w:ind w:left="173"/>
      </w:pPr>
      <w:r>
        <w:rPr>
          <w:b/>
          <w:color w:val="17324D"/>
        </w:rPr>
        <w:t xml:space="preserve">Attribution and disclosure. </w:t>
      </w:r>
      <w:r>
        <w:t>Follow company rules and applicable obligations on attribution, disclosure of AI assistance, authorship and provenance.</w:t>
      </w:r>
    </w:p>
    <w:p>
      <w:pPr>
        <w:pStyle w:val="Heading1"/>
      </w:pPr>
      <w:r>
        <w:t>10. AI agents and automated actions</w:t>
      </w:r>
    </w:p>
    <w:p>
      <w:pPr>
        <w:spacing w:after="100"/>
        <w:ind w:left="173"/>
      </w:pPr>
      <w:r>
        <w:rPr>
          <w:b/>
          <w:color w:val="17324D"/>
        </w:rPr>
        <w:t xml:space="preserve">Permission boundaries. </w:t>
      </w:r>
      <w:r>
        <w:t>Agents or AI-enabled automations may act only within explicitly approved systems, permissions, spending limits and task boundaries.</w:t>
      </w:r>
    </w:p>
    <w:p>
      <w:pPr>
        <w:spacing w:after="100"/>
        <w:ind w:left="173"/>
      </w:pPr>
      <w:r>
        <w:rPr>
          <w:b/>
          <w:color w:val="17324D"/>
        </w:rPr>
        <w:t xml:space="preserve">Human approval points. </w:t>
      </w:r>
      <w:r>
        <w:t>Define where a human must approve messages, transactions, account changes, external publication, purchases, data deletion or other consequential actions.</w:t>
      </w:r>
    </w:p>
    <w:p>
      <w:pPr>
        <w:spacing w:after="100"/>
        <w:ind w:left="173"/>
      </w:pPr>
      <w:r>
        <w:rPr>
          <w:b/>
          <w:color w:val="17324D"/>
        </w:rPr>
        <w:t xml:space="preserve">Monitoring. </w:t>
      </w:r>
      <w:r>
        <w:t>Maintain logs or other evidence appropriate to the risk of automated actions so that important activity can be reviewed.</w:t>
      </w:r>
    </w:p>
    <w:p>
      <w:pPr>
        <w:pStyle w:val="Heading1"/>
      </w:pPr>
      <w:r>
        <w:t>11. Approval of new tools and use cases</w:t>
      </w:r>
    </w:p>
    <w:p>
      <w:pPr>
        <w:spacing w:after="100"/>
        <w:ind w:left="173"/>
      </w:pPr>
      <w:r>
        <w:rPr>
          <w:b/>
          <w:color w:val="17324D"/>
        </w:rPr>
        <w:t xml:space="preserve">Trigger. </w:t>
      </w:r>
      <w:r>
        <w:t>Seek approval before using a new AI tool or materially new AI use case where the organisation’s approval process applies.</w:t>
      </w:r>
    </w:p>
    <w:p>
      <w:pPr>
        <w:spacing w:after="100"/>
        <w:ind w:left="173"/>
      </w:pPr>
      <w:r>
        <w:rPr>
          <w:b/>
          <w:color w:val="17324D"/>
        </w:rPr>
        <w:t xml:space="preserve">Assessment. </w:t>
      </w:r>
      <w:r>
        <w:t>Approval may consider data handling, security, vendor terms, affected people, decision impact, intellectual property, accuracy, human oversight, regulatory exposure and operational dependency.</w:t>
      </w:r>
    </w:p>
    <w:p>
      <w:pPr>
        <w:spacing w:after="100"/>
        <w:ind w:left="173"/>
      </w:pPr>
      <w:r>
        <w:rPr>
          <w:b/>
          <w:color w:val="17324D"/>
        </w:rPr>
        <w:t xml:space="preserve">Decision. </w:t>
      </w:r>
      <w:r>
        <w:t>Record the outcome as approved, approved with conditions, deferred pending evidence, escalated for specialist review or declined.</w:t>
      </w:r>
    </w:p>
    <w:p>
      <w:pPr>
        <w:pStyle w:val="Heading1"/>
      </w:pPr>
      <w:r>
        <w:t>12. Incidents and concerns</w:t>
      </w:r>
    </w:p>
    <w:p>
      <w:pPr>
        <w:spacing w:after="100"/>
        <w:ind w:left="173"/>
      </w:pPr>
      <w:r>
        <w:rPr>
          <w:b/>
          <w:color w:val="17324D"/>
        </w:rPr>
        <w:t xml:space="preserve">Report promptly. </w:t>
      </w:r>
      <w:r>
        <w:t>Report suspected AI-related data exposure, unsafe output, harmful or discriminatory behaviour, security issues, unauthorised tool use, material factual errors or other incidents to [CONTACT / CHANNEL].</w:t>
      </w:r>
    </w:p>
    <w:p>
      <w:pPr>
        <w:spacing w:after="100"/>
        <w:ind w:left="173"/>
      </w:pPr>
      <w:r>
        <w:rPr>
          <w:b/>
          <w:color w:val="17324D"/>
        </w:rPr>
        <w:t xml:space="preserve">Preserve evidence. </w:t>
      </w:r>
      <w:r>
        <w:t>Where appropriate, preserve prompts, outputs, screenshots, logs, affected files and relevant dates so the issue can be investigated.</w:t>
      </w:r>
    </w:p>
    <w:p>
      <w:pPr>
        <w:spacing w:after="100"/>
        <w:ind w:left="173"/>
      </w:pPr>
      <w:r>
        <w:rPr>
          <w:b/>
          <w:color w:val="17324D"/>
        </w:rPr>
        <w:t xml:space="preserve">Do not conceal. </w:t>
      </w:r>
      <w:r>
        <w:t>Do not delete or alter relevant records in order to hide an AI-related mistake or incident.</w:t>
      </w:r>
    </w:p>
    <w:p>
      <w:pPr>
        <w:pStyle w:val="Heading1"/>
      </w:pPr>
      <w:r>
        <w:t>13. Roles and responsibilities</w:t>
      </w:r>
    </w:p>
    <w:p>
      <w:pPr>
        <w:spacing w:after="100"/>
        <w:ind w:left="173"/>
      </w:pPr>
      <w:r>
        <w:rPr>
          <w:b/>
          <w:color w:val="17324D"/>
        </w:rPr>
        <w:t xml:space="preserve">All users. </w:t>
      </w:r>
      <w:r>
        <w:t>Follow this policy, use approved tools and data, verify outputs and report concerns.</w:t>
      </w:r>
    </w:p>
    <w:p>
      <w:pPr>
        <w:spacing w:after="100"/>
        <w:ind w:left="173"/>
      </w:pPr>
      <w:r>
        <w:rPr>
          <w:b/>
          <w:color w:val="17324D"/>
        </w:rPr>
        <w:t xml:space="preserve">Managers. </w:t>
      </w:r>
      <w:r>
        <w:t>Set clear expectations, ensure appropriate review and escalate higher-risk uses.</w:t>
      </w:r>
    </w:p>
    <w:p>
      <w:pPr>
        <w:spacing w:after="100"/>
        <w:ind w:left="173"/>
      </w:pPr>
      <w:r>
        <w:rPr>
          <w:b/>
          <w:color w:val="17324D"/>
        </w:rPr>
        <w:t xml:space="preserve">Policy owner. </w:t>
      </w:r>
      <w:r>
        <w:t>[POLICY OWNER] maintains this policy, coordinates exceptions and ensures material changes are communicated.</w:t>
      </w:r>
    </w:p>
    <w:p>
      <w:pPr>
        <w:spacing w:after="100"/>
        <w:ind w:left="173"/>
      </w:pPr>
      <w:r>
        <w:rPr>
          <w:b/>
          <w:color w:val="17324D"/>
        </w:rPr>
        <w:t xml:space="preserve">Technical / security / privacy / legal owners. </w:t>
      </w:r>
      <w:r>
        <w:t>Provide specialist review where the proposed tool or use case creates risks within their areas of responsibility.</w:t>
      </w:r>
    </w:p>
    <w:p>
      <w:pPr>
        <w:pStyle w:val="Heading1"/>
      </w:pPr>
      <w:r>
        <w:t>14. Training, acknowledgement and records</w:t>
      </w:r>
    </w:p>
    <w:p>
      <w:pPr>
        <w:spacing w:after="100"/>
        <w:ind w:left="173"/>
      </w:pPr>
      <w:r>
        <w:rPr>
          <w:b/>
          <w:color w:val="17324D"/>
        </w:rPr>
        <w:t xml:space="preserve">Training. </w:t>
      </w:r>
      <w:r>
        <w:t>Complete required AI awareness or role-specific training before or while using AI for work, according to organisational requirements.</w:t>
      </w:r>
    </w:p>
    <w:p>
      <w:pPr>
        <w:spacing w:after="100"/>
        <w:ind w:left="173"/>
      </w:pPr>
      <w:r>
        <w:rPr>
          <w:b/>
          <w:color w:val="17324D"/>
        </w:rPr>
        <w:t xml:space="preserve">Acknowledgement. </w:t>
      </w:r>
      <w:r>
        <w:t>Where required, confirm that you have read and understood this policy.</w:t>
      </w:r>
    </w:p>
    <w:p>
      <w:pPr>
        <w:spacing w:after="100"/>
        <w:ind w:left="173"/>
      </w:pPr>
      <w:r>
        <w:rPr>
          <w:b/>
          <w:color w:val="17324D"/>
        </w:rPr>
        <w:t xml:space="preserve">Records. </w:t>
      </w:r>
      <w:r>
        <w:t>The organisation may maintain records of approved tools, use cases, risk assessments, exceptions, training, incidents and policy versions.</w:t>
      </w:r>
    </w:p>
    <w:p>
      <w:pPr>
        <w:pStyle w:val="Heading1"/>
      </w:pPr>
      <w:r>
        <w:t>15. Exceptions, enforcement and review</w:t>
      </w:r>
    </w:p>
    <w:p>
      <w:pPr>
        <w:spacing w:after="100"/>
        <w:ind w:left="173"/>
      </w:pPr>
      <w:r>
        <w:rPr>
          <w:b/>
          <w:color w:val="17324D"/>
        </w:rPr>
        <w:t xml:space="preserve">Exceptions. </w:t>
      </w:r>
      <w:r>
        <w:t>Exceptions require documented approval from [ROLE / BODY] and must state the scope, rationale, controls and expiry/review date.</w:t>
      </w:r>
    </w:p>
    <w:p>
      <w:pPr>
        <w:spacing w:after="100"/>
        <w:ind w:left="173"/>
      </w:pPr>
      <w:r>
        <w:rPr>
          <w:b/>
          <w:color w:val="17324D"/>
        </w:rPr>
        <w:t xml:space="preserve">Non-compliance. </w:t>
      </w:r>
      <w:r>
        <w:t>Breaches may result in removal of tool access, corrective action or other consequences consistent with company policy, contracts and applicable law.</w:t>
      </w:r>
    </w:p>
    <w:p>
      <w:pPr>
        <w:spacing w:after="100"/>
        <w:ind w:left="173"/>
      </w:pPr>
      <w:r>
        <w:rPr>
          <w:b/>
          <w:color w:val="17324D"/>
        </w:rPr>
        <w:t xml:space="preserve">Review. </w:t>
      </w:r>
      <w:r>
        <w:t>Review this policy at least [QUARTERLY / EVERY SIX MONTHS / ANNUALLY] and after material changes in AI use, law, incidents, vendors or company risk appetite.</w:t>
      </w:r>
    </w:p>
    <w:p>
      <w:r>
        <w:br w:type="page"/>
      </w:r>
    </w:p>
    <w:p>
      <w:pPr>
        <w:pStyle w:val="Heading1"/>
      </w:pPr>
      <w:r>
        <w:t>Appendix A — Approved AI tools and conditions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c>
          <w:tcPr>
            <w:tcW w:type="dxa" w:w="2033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Tool / service</w:t>
            </w:r>
          </w:p>
        </w:tc>
        <w:tc>
          <w:tcPr>
            <w:tcW w:type="dxa" w:w="2033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Approved account</w:t>
            </w:r>
          </w:p>
        </w:tc>
        <w:tc>
          <w:tcPr>
            <w:tcW w:type="dxa" w:w="2033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Permitted uses</w:t>
            </w:r>
          </w:p>
        </w:tc>
        <w:tc>
          <w:tcPr>
            <w:tcW w:type="dxa" w:w="2033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Data conditions</w:t>
            </w:r>
          </w:p>
        </w:tc>
        <w:tc>
          <w:tcPr>
            <w:tcW w:type="dxa" w:w="2033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Owner / expiry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[TOOL]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[BUSINESS / ENTERPRISE]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[USES]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[PUBLIC / INTERNAL / RESTRICTED RULE]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[OWNER / DATE]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[TOOL]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[ACCOUNT TYPE]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[USES]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[DATA RULE]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[OWNER / DATE]</w:t>
            </w:r>
          </w:p>
        </w:tc>
      </w:tr>
      <w:tr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[TOOL]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[ACCOUNT TYPE]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[USES]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[DATA RULE]</w:t>
            </w:r>
          </w:p>
        </w:tc>
        <w:tc>
          <w:tcPr>
            <w:tcW w:type="dxa" w:w="203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[OWNER / DATE]</w:t>
            </w:r>
          </w:p>
        </w:tc>
      </w:tr>
    </w:tbl>
    <w:p>
      <w:pPr>
        <w:pStyle w:val="Heading1"/>
      </w:pPr>
      <w:r>
        <w:t>Appendix B — Data decision guide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Data class</w:t>
            </w:r>
          </w:p>
        </w:tc>
        <w:tc>
          <w:tcPr>
            <w:tcW w:type="dxa" w:w="3389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Default AI rule</w:t>
            </w:r>
          </w:p>
        </w:tc>
        <w:tc>
          <w:tcPr>
            <w:tcW w:type="dxa" w:w="3389"/>
            <w:vAlign w:val="center"/>
            <w:shd w:fill="17324D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Examples to customise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Public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May be used in approved tools unless another restriction applies.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Published website content, public brochures, public job adverts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Internal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Approved managed tools only, subject to purpose and access controls.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Internal drafts, procedures, ordinary meeting notes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Confidential / personal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Do not use unless the specific tool and use case are approved for that data.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Customer data, employee records, contracts, non-public financial data</w:t>
            </w:r>
          </w:p>
        </w:tc>
      </w:tr>
      <w:tr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Highly restricted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Do not enter unless a specific written exception and specialist approval allow it.</w:t>
            </w:r>
          </w:p>
        </w:tc>
        <w:tc>
          <w:tcPr>
            <w:tcW w:type="dxa" w:w="338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6"/>
              </w:rPr>
              <w:t>Passwords, secrets, highly sensitive personal data, critical security material</w:t>
            </w:r>
          </w:p>
        </w:tc>
      </w:tr>
    </w:tbl>
    <w:p>
      <w:pPr>
        <w:pStyle w:val="Heading1"/>
      </w:pPr>
      <w:r>
        <w:t>Appendix C — Employee quick rules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Use approved AI tools and company accounts for company work.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Do not paste restricted, confidential or sensitive data unless the tool and use case are approved for it.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Check important AI output before using, sharing, publishing or acting on it.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Keep a person accountable for material decisions and consequential actions.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Ask before introducing a new tool, plugin, agent or high-impact use case.</w:t>
      </w:r>
    </w:p>
    <w:p>
      <w:pPr>
        <w:pStyle w:val="ListBullet"/>
        <w:spacing w:after="60"/>
      </w:pPr>
      <w:r>
        <w:rPr>
          <w:rFonts w:ascii="Arial" w:hAnsi="Arial"/>
          <w:sz w:val="20"/>
        </w:rPr>
        <w:t>Report AI-related data leaks, unsafe outputs, security issues and material mistakes promptly.</w:t>
      </w:r>
    </w:p>
    <w:p>
      <w:pPr>
        <w:spacing w:before="280"/>
      </w:pPr>
      <w:r>
        <w:rPr>
          <w:b/>
          <w:color w:val="17324D"/>
        </w:rPr>
        <w:t xml:space="preserve">Reference note: </w:t>
      </w:r>
      <w:r>
        <w:t>This starter is informed by widely used AI risk-management principles. For a general voluntary risk-management reference, see the NIST AI Risk Management Framework (AI RMF): https://www.nist.gov/itl/ai-risk-management-framework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6"/>
      </w:rPr>
      <w:t>Evidelis · Published by Ingenii OÜ · evidelis.com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667085"/>
        <w:sz w:val="16"/>
      </w:rPr>
      <w:t>EVIDELIS  |  FREE PRACTICAL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3A78A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24D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